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0373E" w14:textId="0137BF79" w:rsidR="008F7AEF" w:rsidRPr="002C024B" w:rsidRDefault="00BA7BCA" w:rsidP="00D855AF">
      <w:pPr>
        <w:spacing w:after="120" w:line="276" w:lineRule="auto"/>
        <w:jc w:val="center"/>
        <w:rPr>
          <w:b/>
          <w:bCs/>
          <w:lang w:val="vi-VN"/>
        </w:rPr>
      </w:pPr>
      <w:r>
        <w:rPr>
          <w:b/>
          <w:bCs/>
        </w:rPr>
        <w:t>CHƯƠNG TRÌNH KHOÁ BỒI DƯỠNG CHUYÊN MÔN, NGHIỆP VỤ LUẬT SƯ</w:t>
      </w:r>
      <w:bookmarkStart w:id="0" w:name="_GoBack"/>
      <w:bookmarkEnd w:id="0"/>
    </w:p>
    <w:p w14:paraId="780DF874" w14:textId="77777777" w:rsidR="00FD53DB" w:rsidRPr="002C024B" w:rsidRDefault="00FD53DB" w:rsidP="00D855AF">
      <w:pPr>
        <w:spacing w:after="120" w:line="276" w:lineRule="auto"/>
        <w:jc w:val="center"/>
        <w:rPr>
          <w:b/>
          <w:bCs/>
          <w:lang w:val="vi-VN"/>
        </w:rPr>
      </w:pPr>
    </w:p>
    <w:p w14:paraId="3BBBDA24" w14:textId="6376EDFB" w:rsidR="001D7BD4" w:rsidRPr="002C024B" w:rsidRDefault="001D7BD4" w:rsidP="00566298">
      <w:pPr>
        <w:spacing w:after="120" w:line="276" w:lineRule="auto"/>
        <w:ind w:left="1440" w:hanging="1440"/>
        <w:jc w:val="both"/>
        <w:rPr>
          <w:b/>
          <w:bCs/>
          <w:lang w:val="vi-VN"/>
        </w:rPr>
      </w:pPr>
      <w:r w:rsidRPr="002C024B">
        <w:rPr>
          <w:b/>
          <w:bCs/>
          <w:lang w:val="vi-VN"/>
        </w:rPr>
        <w:t xml:space="preserve">Chủ đề: </w:t>
      </w:r>
      <w:r w:rsidR="00BE43C8" w:rsidRPr="002C024B">
        <w:rPr>
          <w:b/>
          <w:bCs/>
          <w:lang w:val="vi-VN"/>
        </w:rPr>
        <w:tab/>
      </w:r>
      <w:r w:rsidR="00E00707" w:rsidRPr="002C024B">
        <w:rPr>
          <w:b/>
          <w:bCs/>
          <w:lang w:val="vi-VN"/>
        </w:rPr>
        <w:t>Kỹ năng của luật sư tham gia đàm phán, ký kết hợp đồng và Giải quyết khiếu nại, tranh chấp phát sinh trong lĩnh vực xây dựng</w:t>
      </w:r>
    </w:p>
    <w:p w14:paraId="2229EC6B" w14:textId="6C388684" w:rsidR="00D61DBF" w:rsidRPr="002C024B" w:rsidRDefault="00BE43C8" w:rsidP="00D61DBF">
      <w:pPr>
        <w:spacing w:after="120" w:line="276" w:lineRule="auto"/>
        <w:jc w:val="both"/>
      </w:pPr>
      <w:r w:rsidRPr="002C024B">
        <w:rPr>
          <w:b/>
          <w:bCs/>
          <w:lang w:val="vi-VN"/>
        </w:rPr>
        <w:t xml:space="preserve">Thời </w:t>
      </w:r>
      <w:r w:rsidR="00E00707" w:rsidRPr="002C024B">
        <w:rPr>
          <w:b/>
          <w:bCs/>
          <w:lang w:val="vi-VN"/>
        </w:rPr>
        <w:t>gian</w:t>
      </w:r>
      <w:r w:rsidRPr="002C024B">
        <w:rPr>
          <w:b/>
          <w:bCs/>
          <w:lang w:val="vi-VN"/>
        </w:rPr>
        <w:t>:</w:t>
      </w:r>
      <w:r w:rsidRPr="002C024B">
        <w:rPr>
          <w:b/>
          <w:bCs/>
          <w:lang w:val="vi-VN"/>
        </w:rPr>
        <w:tab/>
      </w:r>
      <w:r w:rsidR="00E00707" w:rsidRPr="002C024B">
        <w:rPr>
          <w:lang w:val="vi-VN"/>
        </w:rPr>
        <w:t>Ngày 20/06/2026 (Cả ngà</w:t>
      </w:r>
      <w:r w:rsidR="00E00707" w:rsidRPr="002C024B">
        <w:t>y)</w:t>
      </w:r>
    </w:p>
    <w:p w14:paraId="149F56F2" w14:textId="73D68B68" w:rsidR="00A779E0" w:rsidRDefault="00B65C1D" w:rsidP="00AB7EE0">
      <w:pPr>
        <w:spacing w:after="120" w:line="276" w:lineRule="auto"/>
        <w:jc w:val="both"/>
      </w:pPr>
      <w:r w:rsidRPr="002C024B">
        <w:rPr>
          <w:b/>
          <w:bCs/>
          <w:lang w:val="vi-VN"/>
        </w:rPr>
        <w:t>Hình thức:</w:t>
      </w:r>
      <w:r w:rsidRPr="002C024B">
        <w:rPr>
          <w:lang w:val="vi-VN"/>
        </w:rPr>
        <w:tab/>
        <w:t xml:space="preserve">Trực tuyến </w:t>
      </w:r>
    </w:p>
    <w:p w14:paraId="0237CE8D" w14:textId="77777777" w:rsidR="00F859FB" w:rsidRPr="003B2962" w:rsidRDefault="008E6B9A" w:rsidP="00AB7EE0">
      <w:pPr>
        <w:spacing w:after="120" w:line="276" w:lineRule="auto"/>
        <w:jc w:val="both"/>
        <w:rPr>
          <w:b/>
          <w:bCs/>
        </w:rPr>
      </w:pPr>
      <w:r w:rsidRPr="003B2962">
        <w:rPr>
          <w:b/>
          <w:bCs/>
        </w:rPr>
        <w:t xml:space="preserve">Giảng viên: </w:t>
      </w:r>
      <w:r w:rsidRPr="003B2962">
        <w:rPr>
          <w:b/>
          <w:bCs/>
        </w:rPr>
        <w:tab/>
      </w:r>
    </w:p>
    <w:p w14:paraId="684EB4BE" w14:textId="239E6C49" w:rsidR="008E6B9A" w:rsidRDefault="008E6B9A" w:rsidP="00F859FB">
      <w:pPr>
        <w:spacing w:after="120" w:line="276" w:lineRule="auto"/>
        <w:ind w:left="1440" w:hanging="1440"/>
        <w:jc w:val="both"/>
      </w:pPr>
      <w:r>
        <w:t xml:space="preserve">Buổi sáng: </w:t>
      </w:r>
      <w:r w:rsidR="00F859FB">
        <w:tab/>
      </w:r>
      <w:r w:rsidR="00F859FB" w:rsidRPr="00F859FB">
        <w:rPr>
          <w:b/>
          <w:bCs/>
        </w:rPr>
        <w:t>Ls. Tống Thị Thu Thảo</w:t>
      </w:r>
      <w:r w:rsidR="00F859FB" w:rsidRPr="00F859FB">
        <w:t xml:space="preserve"> </w:t>
      </w:r>
      <w:r w:rsidR="00F859FB">
        <w:t xml:space="preserve">– </w:t>
      </w:r>
      <w:r w:rsidR="00F859FB" w:rsidRPr="00F859FB">
        <w:t>Quản lý Hợp đồng &amp; Chuyên gia đào tạo được FIDIC công nhận; Ủy viên B</w:t>
      </w:r>
      <w:r w:rsidR="00F859FB">
        <w:t>an Kiểm tra</w:t>
      </w:r>
      <w:r w:rsidR="00F859FB" w:rsidRPr="00F859FB">
        <w:t xml:space="preserve"> Hội Pháp luật Xây dựng Việt Nam (SCLVN)</w:t>
      </w:r>
    </w:p>
    <w:p w14:paraId="7B374BD3" w14:textId="34AFCD37" w:rsidR="008E6B9A" w:rsidRPr="008E6B9A" w:rsidRDefault="008E6B9A" w:rsidP="003B2962">
      <w:pPr>
        <w:spacing w:after="120" w:line="276" w:lineRule="auto"/>
        <w:ind w:left="1440" w:hanging="1440"/>
        <w:jc w:val="both"/>
      </w:pPr>
      <w:r>
        <w:t xml:space="preserve">Buổi chiều: </w:t>
      </w:r>
      <w:r w:rsidR="00F859FB">
        <w:tab/>
      </w:r>
      <w:r w:rsidRPr="003B2962">
        <w:rPr>
          <w:b/>
          <w:bCs/>
        </w:rPr>
        <w:t>Ls. Lê Bá Thành Chung</w:t>
      </w:r>
      <w:r w:rsidR="00F859FB">
        <w:t xml:space="preserve"> – </w:t>
      </w:r>
      <w:r w:rsidR="003B2962">
        <w:t>Luật sư Thành viên Điều hành, Công ty Luật TNHH Xây Dựng Việt Nam (CLVN); Trọng tài viên Trung tâm Trọng tài Quốc tế Việt Nam (VIAC)</w:t>
      </w:r>
    </w:p>
    <w:tbl>
      <w:tblPr>
        <w:tblStyle w:val="TableGrid"/>
        <w:tblW w:w="9498" w:type="dxa"/>
        <w:tblInd w:w="-289" w:type="dxa"/>
        <w:tblLook w:val="04A0" w:firstRow="1" w:lastRow="0" w:firstColumn="1" w:lastColumn="0" w:noHBand="0" w:noVBand="1"/>
      </w:tblPr>
      <w:tblGrid>
        <w:gridCol w:w="1705"/>
        <w:gridCol w:w="7793"/>
      </w:tblGrid>
      <w:tr w:rsidR="00D37A21" w:rsidRPr="002C024B" w14:paraId="293FAB4F" w14:textId="77777777" w:rsidTr="002C024B">
        <w:trPr>
          <w:tblHeader/>
        </w:trPr>
        <w:tc>
          <w:tcPr>
            <w:tcW w:w="1705" w:type="dxa"/>
            <w:shd w:val="clear" w:color="auto" w:fill="F2F2F2" w:themeFill="background1" w:themeFillShade="F2"/>
          </w:tcPr>
          <w:p w14:paraId="0891E493" w14:textId="77777777" w:rsidR="00D37A21" w:rsidRPr="002C024B" w:rsidRDefault="00D37A21" w:rsidP="0019206D">
            <w:pPr>
              <w:spacing w:before="60" w:after="60" w:line="276" w:lineRule="auto"/>
              <w:jc w:val="center"/>
              <w:rPr>
                <w:rFonts w:cstheme="minorHAnsi"/>
                <w:b/>
                <w:bCs/>
              </w:rPr>
            </w:pPr>
            <w:r w:rsidRPr="002C024B">
              <w:rPr>
                <w:rFonts w:cstheme="minorHAnsi"/>
                <w:b/>
                <w:bCs/>
              </w:rPr>
              <w:t>Thời gian</w:t>
            </w:r>
          </w:p>
        </w:tc>
        <w:tc>
          <w:tcPr>
            <w:tcW w:w="7793" w:type="dxa"/>
            <w:shd w:val="clear" w:color="auto" w:fill="F2F2F2" w:themeFill="background1" w:themeFillShade="F2"/>
          </w:tcPr>
          <w:p w14:paraId="5FFA87FC" w14:textId="45384A38" w:rsidR="00D37A21" w:rsidRPr="002C024B" w:rsidRDefault="00D37A21" w:rsidP="0019206D">
            <w:pPr>
              <w:spacing w:before="60" w:after="60" w:line="276" w:lineRule="auto"/>
              <w:jc w:val="center"/>
              <w:rPr>
                <w:rFonts w:cstheme="minorHAnsi"/>
                <w:b/>
                <w:bCs/>
              </w:rPr>
            </w:pPr>
            <w:r w:rsidRPr="002C024B">
              <w:rPr>
                <w:rFonts w:cstheme="minorHAnsi"/>
                <w:b/>
                <w:bCs/>
              </w:rPr>
              <w:t>Nội dung</w:t>
            </w:r>
          </w:p>
        </w:tc>
      </w:tr>
      <w:tr w:rsidR="00D37A21" w:rsidRPr="002C024B" w14:paraId="726D6BE9" w14:textId="77777777" w:rsidTr="002C024B">
        <w:tc>
          <w:tcPr>
            <w:tcW w:w="1705" w:type="dxa"/>
            <w:vAlign w:val="center"/>
          </w:tcPr>
          <w:p w14:paraId="0A9BCA99" w14:textId="1BB9855C" w:rsidR="00D37A21" w:rsidRPr="002C024B" w:rsidRDefault="00860E63" w:rsidP="0019206D">
            <w:pPr>
              <w:spacing w:before="60" w:after="60" w:line="276" w:lineRule="auto"/>
              <w:jc w:val="center"/>
              <w:rPr>
                <w:rFonts w:cstheme="minorHAnsi"/>
                <w:lang w:val="en-US"/>
              </w:rPr>
            </w:pPr>
            <w:r w:rsidRPr="002C024B">
              <w:rPr>
                <w:rFonts w:cstheme="minorHAnsi"/>
              </w:rPr>
              <w:t>08:00 – 08:1</w:t>
            </w:r>
            <w:r w:rsidR="008A7591" w:rsidRPr="002C024B">
              <w:rPr>
                <w:rFonts w:cstheme="minorHAnsi"/>
                <w:lang w:val="en-US"/>
              </w:rPr>
              <w:t>0</w:t>
            </w:r>
          </w:p>
        </w:tc>
        <w:tc>
          <w:tcPr>
            <w:tcW w:w="7793" w:type="dxa"/>
          </w:tcPr>
          <w:p w14:paraId="03FDFE29" w14:textId="77777777" w:rsidR="00D37A21" w:rsidRPr="002C024B" w:rsidRDefault="00F025A2" w:rsidP="00157E86">
            <w:pPr>
              <w:spacing w:before="60" w:after="60" w:line="276" w:lineRule="auto"/>
              <w:rPr>
                <w:rFonts w:cstheme="minorHAnsi"/>
                <w:b/>
                <w:bCs/>
              </w:rPr>
            </w:pPr>
            <w:r w:rsidRPr="002C024B">
              <w:rPr>
                <w:rFonts w:cstheme="minorHAnsi"/>
                <w:b/>
                <w:bCs/>
              </w:rPr>
              <w:t>Phát biểu khai mạc</w:t>
            </w:r>
          </w:p>
          <w:p w14:paraId="4E321571" w14:textId="0674F79E" w:rsidR="00F025A2" w:rsidRPr="002C024B" w:rsidRDefault="00F025A2" w:rsidP="00157E86">
            <w:pPr>
              <w:spacing w:before="60" w:after="60" w:line="276" w:lineRule="auto"/>
              <w:rPr>
                <w:rFonts w:cstheme="minorHAnsi"/>
                <w:i/>
                <w:iCs/>
              </w:rPr>
            </w:pPr>
            <w:r w:rsidRPr="002C024B">
              <w:rPr>
                <w:rFonts w:cstheme="minorHAnsi"/>
                <w:i/>
                <w:iCs/>
              </w:rPr>
              <w:t>Đại diện Đoàn Luật sư thành phố Hà Nội</w:t>
            </w:r>
          </w:p>
        </w:tc>
      </w:tr>
      <w:tr w:rsidR="00F025A2" w:rsidRPr="008E6B9A" w14:paraId="2510FBC8" w14:textId="77777777" w:rsidTr="002C024B">
        <w:tc>
          <w:tcPr>
            <w:tcW w:w="1705" w:type="dxa"/>
            <w:vAlign w:val="center"/>
          </w:tcPr>
          <w:p w14:paraId="315EEFE5" w14:textId="587E28D2" w:rsidR="00F025A2" w:rsidRPr="002C024B" w:rsidRDefault="007F31F3" w:rsidP="0019206D">
            <w:pPr>
              <w:spacing w:before="60" w:after="60" w:line="276" w:lineRule="auto"/>
              <w:jc w:val="center"/>
              <w:rPr>
                <w:rFonts w:cstheme="minorHAnsi"/>
              </w:rPr>
            </w:pPr>
            <w:r w:rsidRPr="002C024B">
              <w:rPr>
                <w:rFonts w:cstheme="minorHAnsi"/>
              </w:rPr>
              <w:t>08:1</w:t>
            </w:r>
            <w:r w:rsidR="008A7591" w:rsidRPr="002C024B">
              <w:rPr>
                <w:rFonts w:cstheme="minorHAnsi"/>
                <w:lang w:val="en-US"/>
              </w:rPr>
              <w:t>0</w:t>
            </w:r>
            <w:r w:rsidRPr="002C024B">
              <w:rPr>
                <w:rFonts w:cstheme="minorHAnsi"/>
              </w:rPr>
              <w:t xml:space="preserve"> – </w:t>
            </w:r>
            <w:r w:rsidR="007907AE" w:rsidRPr="002C024B">
              <w:rPr>
                <w:rFonts w:cstheme="minorHAnsi"/>
              </w:rPr>
              <w:t>0</w:t>
            </w:r>
            <w:r w:rsidRPr="002C024B">
              <w:rPr>
                <w:rFonts w:cstheme="minorHAnsi"/>
              </w:rPr>
              <w:t>9h</w:t>
            </w:r>
            <w:r w:rsidR="007907AE" w:rsidRPr="002C024B">
              <w:rPr>
                <w:rFonts w:cstheme="minorHAnsi"/>
              </w:rPr>
              <w:t>10</w:t>
            </w:r>
          </w:p>
        </w:tc>
        <w:tc>
          <w:tcPr>
            <w:tcW w:w="7793" w:type="dxa"/>
          </w:tcPr>
          <w:p w14:paraId="444C81C6" w14:textId="4C8C2C5E" w:rsidR="00104C44" w:rsidRPr="002C024B" w:rsidRDefault="007D0F7E" w:rsidP="007A6D19">
            <w:pPr>
              <w:tabs>
                <w:tab w:val="center" w:pos="3573"/>
              </w:tabs>
              <w:spacing w:before="60" w:after="60" w:line="276" w:lineRule="auto"/>
              <w:rPr>
                <w:rFonts w:cstheme="minorHAnsi"/>
                <w:b/>
                <w:bCs/>
              </w:rPr>
            </w:pPr>
            <w:r w:rsidRPr="002C024B">
              <w:rPr>
                <w:rFonts w:cstheme="minorHAnsi"/>
                <w:b/>
                <w:bCs/>
              </w:rPr>
              <w:t>Chuyên đề 01:</w:t>
            </w:r>
            <w:r w:rsidR="00D901C5" w:rsidRPr="002C024B">
              <w:rPr>
                <w:rFonts w:cstheme="minorHAnsi"/>
                <w:b/>
                <w:bCs/>
              </w:rPr>
              <w:t xml:space="preserve"> </w:t>
            </w:r>
            <w:r w:rsidR="00671A45" w:rsidRPr="00671A45">
              <w:rPr>
                <w:rFonts w:cstheme="minorHAnsi"/>
                <w:b/>
                <w:bCs/>
              </w:rPr>
              <w:t>Một số quy định mới trong Luật Xây dựng năm 2025 liên quan đến Hợp đồng xây dựng. Giới thiệu các mẫu hợp đồng xây dựng quốc tế thông dụng.</w:t>
            </w:r>
          </w:p>
          <w:p w14:paraId="699AB4BB" w14:textId="77777777" w:rsidR="00D6449C" w:rsidRPr="002C024B" w:rsidRDefault="007F31F3" w:rsidP="00D6449C">
            <w:pPr>
              <w:tabs>
                <w:tab w:val="center" w:pos="3573"/>
              </w:tabs>
              <w:spacing w:before="60" w:after="60" w:line="276" w:lineRule="auto"/>
              <w:rPr>
                <w:rFonts w:cstheme="minorHAnsi"/>
                <w:i/>
                <w:iCs/>
              </w:rPr>
            </w:pPr>
            <w:r w:rsidRPr="002C024B">
              <w:rPr>
                <w:rFonts w:cstheme="minorHAnsi"/>
                <w:i/>
                <w:iCs/>
              </w:rPr>
              <w:t>*</w:t>
            </w:r>
            <w:r w:rsidR="006C6A78" w:rsidRPr="002C024B">
              <w:rPr>
                <w:rFonts w:cstheme="minorHAnsi"/>
                <w:i/>
                <w:iCs/>
              </w:rPr>
              <w:t xml:space="preserve"> N</w:t>
            </w:r>
            <w:r w:rsidRPr="002C024B">
              <w:rPr>
                <w:rFonts w:cstheme="minorHAnsi"/>
                <w:i/>
                <w:iCs/>
              </w:rPr>
              <w:t>ội dung:</w:t>
            </w:r>
            <w:r w:rsidR="007A6D19" w:rsidRPr="002C024B">
              <w:rPr>
                <w:rFonts w:cstheme="minorHAnsi"/>
                <w:i/>
                <w:iCs/>
              </w:rPr>
              <w:tab/>
            </w:r>
            <w:r w:rsidR="00D6449C" w:rsidRPr="002C024B">
              <w:rPr>
                <w:rFonts w:cstheme="minorHAnsi"/>
                <w:i/>
                <w:iCs/>
              </w:rPr>
              <w:t xml:space="preserve"> </w:t>
            </w:r>
          </w:p>
          <w:p w14:paraId="096979EA" w14:textId="77777777" w:rsidR="00104C44" w:rsidRPr="003972AB" w:rsidRDefault="003972AB" w:rsidP="003972AB">
            <w:pPr>
              <w:pStyle w:val="ListParagraph"/>
              <w:numPr>
                <w:ilvl w:val="0"/>
                <w:numId w:val="10"/>
              </w:numPr>
              <w:spacing w:before="60" w:after="60" w:line="276" w:lineRule="auto"/>
              <w:ind w:left="596"/>
              <w:rPr>
                <w:rFonts w:cstheme="minorHAnsi"/>
              </w:rPr>
            </w:pPr>
            <w:r w:rsidRPr="003972AB">
              <w:rPr>
                <w:rFonts w:cstheme="minorHAnsi"/>
              </w:rPr>
              <w:t>Luật Xây dựng số 135/2025/QH15 và các nội dung sửa đổi, bổ sung liên quan đến hợp đồng xây dựng cần lưu ý đối với luật sư.</w:t>
            </w:r>
          </w:p>
          <w:p w14:paraId="1277A848" w14:textId="77777777" w:rsidR="003972AB" w:rsidRPr="003972AB" w:rsidRDefault="003972AB" w:rsidP="003972AB">
            <w:pPr>
              <w:pStyle w:val="ListParagraph"/>
              <w:numPr>
                <w:ilvl w:val="0"/>
                <w:numId w:val="10"/>
              </w:numPr>
              <w:spacing w:before="60" w:after="60" w:line="276" w:lineRule="auto"/>
              <w:ind w:left="596"/>
              <w:rPr>
                <w:rFonts w:cstheme="minorHAnsi"/>
              </w:rPr>
            </w:pPr>
            <w:r w:rsidRPr="003972AB">
              <w:rPr>
                <w:rFonts w:cstheme="minorHAnsi"/>
              </w:rPr>
              <w:t>Giới thiệu một số mẫu hợp đồng xây dựng quốc tế thông dụng tại Việt Nam.</w:t>
            </w:r>
          </w:p>
          <w:p w14:paraId="2225F411" w14:textId="4FACD145" w:rsidR="003972AB" w:rsidRPr="003972AB" w:rsidRDefault="003972AB" w:rsidP="003972AB">
            <w:pPr>
              <w:pStyle w:val="ListParagraph"/>
              <w:numPr>
                <w:ilvl w:val="0"/>
                <w:numId w:val="10"/>
              </w:numPr>
              <w:spacing w:before="60" w:after="60" w:line="276" w:lineRule="auto"/>
              <w:ind w:left="596"/>
              <w:rPr>
                <w:rFonts w:cstheme="minorHAnsi"/>
              </w:rPr>
            </w:pPr>
            <w:r w:rsidRPr="003972AB">
              <w:rPr>
                <w:rFonts w:cstheme="minorHAnsi"/>
              </w:rPr>
              <w:t>Một số vấn đề cần lưu ý từ sự khác biệt giữa quy định pháp luật về xây dựng và điều kiện mẫu hợp đồng quốc tế khi áp dụng tại Việt Nam.</w:t>
            </w:r>
          </w:p>
        </w:tc>
      </w:tr>
      <w:tr w:rsidR="00343A3F" w:rsidRPr="002C024B" w14:paraId="13C657EA" w14:textId="77777777" w:rsidTr="002C024B">
        <w:tc>
          <w:tcPr>
            <w:tcW w:w="1705" w:type="dxa"/>
            <w:vAlign w:val="center"/>
          </w:tcPr>
          <w:p w14:paraId="7BEE2864" w14:textId="5FC6BAA4" w:rsidR="00343A3F" w:rsidRPr="002C024B" w:rsidRDefault="007907AE" w:rsidP="0019206D">
            <w:pPr>
              <w:spacing w:before="60" w:after="60" w:line="276" w:lineRule="auto"/>
              <w:jc w:val="center"/>
              <w:rPr>
                <w:rFonts w:cstheme="minorHAnsi"/>
              </w:rPr>
            </w:pPr>
            <w:r w:rsidRPr="002C024B">
              <w:rPr>
                <w:rFonts w:cstheme="minorHAnsi"/>
              </w:rPr>
              <w:t>09:45 – 10:00</w:t>
            </w:r>
          </w:p>
        </w:tc>
        <w:tc>
          <w:tcPr>
            <w:tcW w:w="7793" w:type="dxa"/>
          </w:tcPr>
          <w:p w14:paraId="7A907ADD" w14:textId="5A6122FB" w:rsidR="00343A3F" w:rsidRPr="002C024B" w:rsidRDefault="0064276D" w:rsidP="00157E86">
            <w:pPr>
              <w:spacing w:before="60" w:after="60" w:line="276" w:lineRule="auto"/>
              <w:rPr>
                <w:rFonts w:cstheme="minorHAnsi"/>
              </w:rPr>
            </w:pPr>
            <w:r w:rsidRPr="002C024B">
              <w:rPr>
                <w:rFonts w:cstheme="minorHAnsi"/>
              </w:rPr>
              <w:t>Nghỉ giữa giờ</w:t>
            </w:r>
          </w:p>
        </w:tc>
      </w:tr>
      <w:tr w:rsidR="007F31F3" w:rsidRPr="008E6B9A" w14:paraId="32D59C9E" w14:textId="77777777" w:rsidTr="002C024B">
        <w:tc>
          <w:tcPr>
            <w:tcW w:w="1705" w:type="dxa"/>
            <w:vAlign w:val="center"/>
          </w:tcPr>
          <w:p w14:paraId="2D89146F" w14:textId="68870411" w:rsidR="007F31F3" w:rsidRPr="002C024B" w:rsidRDefault="00E72CB5" w:rsidP="0019206D">
            <w:pPr>
              <w:spacing w:before="60" w:after="60" w:line="276" w:lineRule="auto"/>
              <w:jc w:val="center"/>
              <w:rPr>
                <w:rFonts w:cstheme="minorHAnsi"/>
              </w:rPr>
            </w:pPr>
            <w:r w:rsidRPr="002C024B">
              <w:rPr>
                <w:rFonts w:cstheme="minorHAnsi"/>
              </w:rPr>
              <w:t>10:00 – 11:00</w:t>
            </w:r>
          </w:p>
        </w:tc>
        <w:tc>
          <w:tcPr>
            <w:tcW w:w="7793" w:type="dxa"/>
          </w:tcPr>
          <w:p w14:paraId="296697FC" w14:textId="0D56C726" w:rsidR="0004273D" w:rsidRPr="002C024B" w:rsidRDefault="007D0F7E" w:rsidP="0019206D">
            <w:pPr>
              <w:spacing w:before="60" w:after="60" w:line="276" w:lineRule="auto"/>
              <w:rPr>
                <w:rFonts w:cstheme="minorHAnsi"/>
                <w:b/>
                <w:bCs/>
              </w:rPr>
            </w:pPr>
            <w:r w:rsidRPr="002C024B">
              <w:rPr>
                <w:rFonts w:cstheme="minorHAnsi"/>
                <w:b/>
                <w:bCs/>
              </w:rPr>
              <w:t xml:space="preserve">Chuyên đề 02: </w:t>
            </w:r>
            <w:r w:rsidR="003972AB" w:rsidRPr="003972AB">
              <w:rPr>
                <w:rFonts w:cstheme="minorHAnsi"/>
                <w:b/>
                <w:bCs/>
              </w:rPr>
              <w:t>Kỹ năng soạn thảo, rà soát, đàm phán hợp đồng xây dựng và lưu ý khi áp dụng các mẫu hợp đồng trong lĩnh vực xây dựng</w:t>
            </w:r>
          </w:p>
          <w:p w14:paraId="0F93FC61" w14:textId="16F3AAE4" w:rsidR="00AD5B97" w:rsidRPr="002C024B" w:rsidRDefault="00AD5B97" w:rsidP="0019206D">
            <w:pPr>
              <w:spacing w:before="60" w:after="60" w:line="276" w:lineRule="auto"/>
              <w:rPr>
                <w:rFonts w:cstheme="minorHAnsi"/>
                <w:i/>
                <w:iCs/>
              </w:rPr>
            </w:pPr>
            <w:r w:rsidRPr="002C024B">
              <w:rPr>
                <w:rFonts w:cstheme="minorHAnsi"/>
                <w:i/>
                <w:iCs/>
              </w:rPr>
              <w:t>*Nội dung:</w:t>
            </w:r>
          </w:p>
          <w:p w14:paraId="57E75142" w14:textId="386ACCDB" w:rsidR="00C118D0" w:rsidRPr="007F49CB" w:rsidRDefault="007F49CB" w:rsidP="007F49CB">
            <w:pPr>
              <w:pStyle w:val="ListParagraph"/>
              <w:numPr>
                <w:ilvl w:val="0"/>
                <w:numId w:val="10"/>
              </w:numPr>
              <w:spacing w:before="60" w:after="60" w:line="276" w:lineRule="auto"/>
              <w:ind w:left="596"/>
              <w:rPr>
                <w:rFonts w:cstheme="minorHAnsi"/>
              </w:rPr>
            </w:pPr>
            <w:r w:rsidRPr="007F49CB">
              <w:rPr>
                <w:rFonts w:cstheme="minorHAnsi"/>
              </w:rPr>
              <w:t>Xác định cấu trúc hợp đồng và hệ thống tài liệu liên quan trong dự án xây dựng</w:t>
            </w:r>
            <w:r w:rsidR="00C118D0" w:rsidRPr="007F49CB">
              <w:rPr>
                <w:rFonts w:cstheme="minorHAnsi"/>
              </w:rPr>
              <w:t>.</w:t>
            </w:r>
          </w:p>
          <w:p w14:paraId="1A7FE63F" w14:textId="38A4A072" w:rsidR="007F49CB" w:rsidRPr="007F49CB" w:rsidRDefault="00FE2BF9" w:rsidP="007F49CB">
            <w:pPr>
              <w:pStyle w:val="ListParagraph"/>
              <w:numPr>
                <w:ilvl w:val="0"/>
                <w:numId w:val="10"/>
              </w:numPr>
              <w:spacing w:before="60" w:after="60" w:line="276" w:lineRule="auto"/>
              <w:ind w:left="596"/>
              <w:rPr>
                <w:rFonts w:cstheme="minorHAnsi"/>
              </w:rPr>
            </w:pPr>
            <w:r w:rsidRPr="00FE2BF9">
              <w:rPr>
                <w:rFonts w:cstheme="minorHAnsi"/>
              </w:rPr>
              <w:t>Kỹ năng soạn thảo, rà soát các điều khoản trọng yếu: phạm vi công việc, tiến độ, điều kiện thanh toán, bảo lãnh, nghiệm thu, bàn giao, bảo hành, thay đổi phạm vi công việc/variation, điều chỉnh giá và chấm dứt hợp đồng v.v.</w:t>
            </w:r>
          </w:p>
          <w:p w14:paraId="7EE1ADCD" w14:textId="26785772" w:rsidR="00C74B5B" w:rsidRPr="002C024B" w:rsidRDefault="00FE2BF9" w:rsidP="00C74B5B">
            <w:pPr>
              <w:pStyle w:val="ListParagraph"/>
              <w:numPr>
                <w:ilvl w:val="0"/>
                <w:numId w:val="10"/>
              </w:numPr>
              <w:spacing w:before="60" w:after="60" w:line="276" w:lineRule="auto"/>
              <w:ind w:left="596"/>
              <w:rPr>
                <w:rFonts w:cstheme="minorHAnsi"/>
              </w:rPr>
            </w:pPr>
            <w:r w:rsidRPr="00FE2BF9">
              <w:rPr>
                <w:rFonts w:cstheme="minorHAnsi"/>
              </w:rPr>
              <w:t>Kỹ năng nhận diện &amp; phân bổ trách nhiệm trong quá trình soạn thảo, rà soát hợp đồng đối với các tình huống thường gặp: chậm tiến độ, lỗi thiết kế, phát sinh khối lượng, thay đổi pháp luật, điều kiện địa chất bất thường, bất khả kháng và hoàn cảnh thay đổi cơ bản v.v.</w:t>
            </w:r>
          </w:p>
        </w:tc>
      </w:tr>
      <w:tr w:rsidR="00C7196A" w:rsidRPr="002C024B" w14:paraId="1E92EBA3" w14:textId="77777777" w:rsidTr="002C024B">
        <w:tc>
          <w:tcPr>
            <w:tcW w:w="1705" w:type="dxa"/>
            <w:vAlign w:val="center"/>
          </w:tcPr>
          <w:p w14:paraId="7608B905" w14:textId="34B4CB89" w:rsidR="00C7196A" w:rsidRPr="002C024B" w:rsidRDefault="00E72CB5" w:rsidP="0019206D">
            <w:pPr>
              <w:spacing w:before="60" w:after="60" w:line="276" w:lineRule="auto"/>
              <w:jc w:val="center"/>
              <w:rPr>
                <w:rFonts w:cstheme="minorHAnsi"/>
              </w:rPr>
            </w:pPr>
            <w:r w:rsidRPr="002C024B">
              <w:rPr>
                <w:rFonts w:cstheme="minorHAnsi"/>
              </w:rPr>
              <w:t>11:00 – 11:30</w:t>
            </w:r>
          </w:p>
        </w:tc>
        <w:tc>
          <w:tcPr>
            <w:tcW w:w="7793" w:type="dxa"/>
          </w:tcPr>
          <w:p w14:paraId="47AEF8FD" w14:textId="67D0F1C0" w:rsidR="00C7196A" w:rsidRPr="002C024B" w:rsidRDefault="00C7196A" w:rsidP="00157E86">
            <w:pPr>
              <w:spacing w:before="60" w:after="60" w:line="276" w:lineRule="auto"/>
              <w:rPr>
                <w:rFonts w:cstheme="minorHAnsi"/>
              </w:rPr>
            </w:pPr>
            <w:r w:rsidRPr="002C024B">
              <w:rPr>
                <w:rFonts w:cstheme="minorHAnsi"/>
              </w:rPr>
              <w:t>Thảo luận</w:t>
            </w:r>
          </w:p>
        </w:tc>
      </w:tr>
      <w:tr w:rsidR="00E72CB5" w:rsidRPr="002C024B" w14:paraId="3D29ADD2" w14:textId="77777777" w:rsidTr="002C024B">
        <w:tc>
          <w:tcPr>
            <w:tcW w:w="1705" w:type="dxa"/>
            <w:vAlign w:val="center"/>
          </w:tcPr>
          <w:p w14:paraId="4A84202B" w14:textId="6B7B851C" w:rsidR="00E72CB5" w:rsidRPr="002C024B" w:rsidRDefault="00E72CB5" w:rsidP="0019206D">
            <w:pPr>
              <w:spacing w:before="60" w:after="60" w:line="276" w:lineRule="auto"/>
              <w:jc w:val="center"/>
              <w:rPr>
                <w:rFonts w:cstheme="minorHAnsi"/>
              </w:rPr>
            </w:pPr>
            <w:r w:rsidRPr="002C024B">
              <w:rPr>
                <w:rFonts w:cstheme="minorHAnsi"/>
              </w:rPr>
              <w:t>11h30 – 13h30</w:t>
            </w:r>
          </w:p>
        </w:tc>
        <w:tc>
          <w:tcPr>
            <w:tcW w:w="7793" w:type="dxa"/>
          </w:tcPr>
          <w:p w14:paraId="49D2F5BA" w14:textId="63D29040" w:rsidR="00E72CB5" w:rsidRPr="002C024B" w:rsidRDefault="00E72CB5" w:rsidP="00157E86">
            <w:pPr>
              <w:spacing w:before="60" w:after="60" w:line="276" w:lineRule="auto"/>
              <w:rPr>
                <w:rFonts w:cstheme="minorHAnsi"/>
              </w:rPr>
            </w:pPr>
            <w:r w:rsidRPr="002C024B">
              <w:rPr>
                <w:rFonts w:cstheme="minorHAnsi"/>
              </w:rPr>
              <w:t>Nghỉ trưa</w:t>
            </w:r>
          </w:p>
        </w:tc>
      </w:tr>
      <w:tr w:rsidR="00E72CB5" w:rsidRPr="008E6B9A" w14:paraId="5DF5E3B1" w14:textId="77777777" w:rsidTr="002C024B">
        <w:tc>
          <w:tcPr>
            <w:tcW w:w="1705" w:type="dxa"/>
            <w:vAlign w:val="center"/>
          </w:tcPr>
          <w:p w14:paraId="533C5162" w14:textId="7460A046" w:rsidR="00E72CB5" w:rsidRPr="002C024B" w:rsidRDefault="00E72CB5" w:rsidP="0019206D">
            <w:pPr>
              <w:spacing w:before="60" w:after="60" w:line="276" w:lineRule="auto"/>
              <w:jc w:val="center"/>
              <w:rPr>
                <w:rFonts w:cstheme="minorHAnsi"/>
              </w:rPr>
            </w:pPr>
            <w:r w:rsidRPr="002C024B">
              <w:rPr>
                <w:rFonts w:cstheme="minorHAnsi"/>
              </w:rPr>
              <w:lastRenderedPageBreak/>
              <w:t>13h30 – 14h30</w:t>
            </w:r>
          </w:p>
        </w:tc>
        <w:tc>
          <w:tcPr>
            <w:tcW w:w="7793" w:type="dxa"/>
          </w:tcPr>
          <w:p w14:paraId="2B29D342" w14:textId="3778BFD9" w:rsidR="00E72CB5" w:rsidRPr="002C024B" w:rsidRDefault="0022719F" w:rsidP="00E72CB5">
            <w:pPr>
              <w:spacing w:after="120" w:line="276" w:lineRule="auto"/>
              <w:jc w:val="both"/>
              <w:rPr>
                <w:rFonts w:cstheme="minorHAnsi"/>
                <w:b/>
                <w:bCs/>
              </w:rPr>
            </w:pPr>
            <w:r w:rsidRPr="002C024B">
              <w:rPr>
                <w:rFonts w:cstheme="minorHAnsi"/>
                <w:b/>
                <w:bCs/>
              </w:rPr>
              <w:t xml:space="preserve">Chuyên đề </w:t>
            </w:r>
            <w:r w:rsidR="001D5CF1" w:rsidRPr="002C024B">
              <w:rPr>
                <w:rFonts w:cstheme="minorHAnsi"/>
                <w:b/>
                <w:bCs/>
              </w:rPr>
              <w:t>3</w:t>
            </w:r>
            <w:r w:rsidR="005D71E0" w:rsidRPr="002C024B">
              <w:rPr>
                <w:rFonts w:cstheme="minorHAnsi"/>
                <w:b/>
                <w:bCs/>
              </w:rPr>
              <w:t xml:space="preserve">: </w:t>
            </w:r>
            <w:r w:rsidR="00D75E00" w:rsidRPr="002C024B">
              <w:rPr>
                <w:rFonts w:cstheme="minorHAnsi"/>
                <w:b/>
                <w:bCs/>
              </w:rPr>
              <w:t>Nhận diện rủi ro pháp lý và xử lý khiếu nại trong quá trình thực hiện dự án xây dựng</w:t>
            </w:r>
          </w:p>
          <w:p w14:paraId="515D5CC0" w14:textId="77777777" w:rsidR="00E72CB5" w:rsidRPr="002C024B" w:rsidRDefault="00E72CB5" w:rsidP="00E72CB5">
            <w:pPr>
              <w:spacing w:before="60" w:after="60" w:line="276" w:lineRule="auto"/>
              <w:rPr>
                <w:rFonts w:cstheme="minorHAnsi"/>
                <w:i/>
                <w:iCs/>
              </w:rPr>
            </w:pPr>
            <w:r w:rsidRPr="002C024B">
              <w:rPr>
                <w:rFonts w:cstheme="minorHAnsi"/>
                <w:i/>
                <w:iCs/>
              </w:rPr>
              <w:t>*Nội dung:</w:t>
            </w:r>
          </w:p>
          <w:p w14:paraId="5DF68FDE" w14:textId="77777777" w:rsidR="00FD67B1" w:rsidRPr="002C024B" w:rsidRDefault="00FD67B1" w:rsidP="00FD67B1">
            <w:pPr>
              <w:pStyle w:val="ListParagraph"/>
              <w:numPr>
                <w:ilvl w:val="0"/>
                <w:numId w:val="10"/>
              </w:numPr>
              <w:spacing w:before="60" w:after="60" w:line="276" w:lineRule="auto"/>
              <w:ind w:left="596"/>
              <w:rPr>
                <w:rFonts w:cstheme="minorHAnsi"/>
              </w:rPr>
            </w:pPr>
            <w:r w:rsidRPr="002C024B">
              <w:rPr>
                <w:rFonts w:cstheme="minorHAnsi"/>
              </w:rPr>
              <w:t>Các nhóm tranh chấp thường gặp trong dự án xây dựng: chậm tiến độ, gia hạn thời gian hoàn thành, phát sinh/điều chỉnh khối lượng, thanh toán, quyết toán, chất lượng công trình, nghiệm thu, bảo lãnh, bảo hành và chấm dứt hợp đồng.</w:t>
            </w:r>
          </w:p>
          <w:p w14:paraId="52EDD50A" w14:textId="35D7FCA6" w:rsidR="00FD67B1" w:rsidRPr="002C024B" w:rsidRDefault="00FD67B1" w:rsidP="00FD67B1">
            <w:pPr>
              <w:pStyle w:val="ListParagraph"/>
              <w:numPr>
                <w:ilvl w:val="0"/>
                <w:numId w:val="10"/>
              </w:numPr>
              <w:spacing w:before="60" w:after="60" w:line="276" w:lineRule="auto"/>
              <w:ind w:left="596"/>
              <w:rPr>
                <w:rFonts w:cstheme="minorHAnsi"/>
              </w:rPr>
            </w:pPr>
            <w:r w:rsidRPr="002C024B">
              <w:rPr>
                <w:rFonts w:cstheme="minorHAnsi"/>
              </w:rPr>
              <w:t>Phạt vi phạm, bồi thường thiệt hại, bồi thường thiệt hại được ấn định trước (liquidated damages) và các lưu ý khi thỏa thuận, yêu cầu hoặc phản đối yêu cầu bồi thường trong tranh chấp xây dựng.</w:t>
            </w:r>
          </w:p>
          <w:p w14:paraId="4C0B061A" w14:textId="5217B7A0" w:rsidR="00DB7F8A" w:rsidRPr="002C024B" w:rsidRDefault="00FD67B1" w:rsidP="00FD67B1">
            <w:pPr>
              <w:pStyle w:val="ListParagraph"/>
              <w:numPr>
                <w:ilvl w:val="0"/>
                <w:numId w:val="10"/>
              </w:numPr>
              <w:spacing w:before="60" w:after="60" w:line="276" w:lineRule="auto"/>
              <w:ind w:left="596"/>
              <w:rPr>
                <w:rFonts w:cstheme="minorHAnsi"/>
              </w:rPr>
            </w:pPr>
            <w:r w:rsidRPr="002C024B">
              <w:rPr>
                <w:rFonts w:cstheme="minorHAnsi"/>
              </w:rPr>
              <w:t>Khuyến nghị dành cho luật sư khi tư vấn phòng ngừa tranh chấp trong suốt vòng đời dự án.</w:t>
            </w:r>
          </w:p>
        </w:tc>
      </w:tr>
      <w:tr w:rsidR="008001B0" w:rsidRPr="002C024B" w14:paraId="73568805" w14:textId="77777777" w:rsidTr="002C024B">
        <w:tc>
          <w:tcPr>
            <w:tcW w:w="1705" w:type="dxa"/>
            <w:vAlign w:val="center"/>
          </w:tcPr>
          <w:p w14:paraId="011A6799" w14:textId="759B917B" w:rsidR="008001B0" w:rsidRPr="002C024B" w:rsidRDefault="008001B0" w:rsidP="0019206D">
            <w:pPr>
              <w:spacing w:before="60" w:after="60" w:line="276" w:lineRule="auto"/>
              <w:jc w:val="center"/>
              <w:rPr>
                <w:rFonts w:cstheme="minorHAnsi"/>
              </w:rPr>
            </w:pPr>
            <w:r w:rsidRPr="002C024B">
              <w:rPr>
                <w:rFonts w:cstheme="minorHAnsi"/>
              </w:rPr>
              <w:t xml:space="preserve">14h30 </w:t>
            </w:r>
            <w:r w:rsidR="0064276D" w:rsidRPr="002C024B">
              <w:rPr>
                <w:rFonts w:cstheme="minorHAnsi"/>
              </w:rPr>
              <w:t>–</w:t>
            </w:r>
            <w:r w:rsidRPr="002C024B">
              <w:rPr>
                <w:rFonts w:cstheme="minorHAnsi"/>
              </w:rPr>
              <w:t xml:space="preserve"> 1</w:t>
            </w:r>
            <w:r w:rsidR="0064276D" w:rsidRPr="002C024B">
              <w:rPr>
                <w:rFonts w:cstheme="minorHAnsi"/>
              </w:rPr>
              <w:t>5h00</w:t>
            </w:r>
          </w:p>
        </w:tc>
        <w:tc>
          <w:tcPr>
            <w:tcW w:w="7793" w:type="dxa"/>
          </w:tcPr>
          <w:p w14:paraId="6D04FC78" w14:textId="2F3CBC27" w:rsidR="008001B0" w:rsidRPr="002C024B" w:rsidRDefault="0064276D" w:rsidP="00157E86">
            <w:pPr>
              <w:spacing w:after="120" w:line="276" w:lineRule="auto"/>
              <w:rPr>
                <w:rFonts w:cstheme="minorHAnsi"/>
              </w:rPr>
            </w:pPr>
            <w:r w:rsidRPr="002C024B">
              <w:rPr>
                <w:rFonts w:cstheme="minorHAnsi"/>
              </w:rPr>
              <w:t>Thảo luận</w:t>
            </w:r>
          </w:p>
        </w:tc>
      </w:tr>
      <w:tr w:rsidR="0064276D" w:rsidRPr="002C024B" w14:paraId="0985BBD8" w14:textId="77777777" w:rsidTr="002C024B">
        <w:tc>
          <w:tcPr>
            <w:tcW w:w="1705" w:type="dxa"/>
            <w:vAlign w:val="center"/>
          </w:tcPr>
          <w:p w14:paraId="142E63D4" w14:textId="169CA01C" w:rsidR="0064276D" w:rsidRPr="002C024B" w:rsidRDefault="0064276D" w:rsidP="0019206D">
            <w:pPr>
              <w:spacing w:before="60" w:after="60" w:line="276" w:lineRule="auto"/>
              <w:jc w:val="center"/>
              <w:rPr>
                <w:rFonts w:cstheme="minorHAnsi"/>
              </w:rPr>
            </w:pPr>
            <w:r w:rsidRPr="002C024B">
              <w:rPr>
                <w:rFonts w:cstheme="minorHAnsi"/>
              </w:rPr>
              <w:t>15h00 – 15h15</w:t>
            </w:r>
          </w:p>
        </w:tc>
        <w:tc>
          <w:tcPr>
            <w:tcW w:w="7793" w:type="dxa"/>
          </w:tcPr>
          <w:p w14:paraId="52B875A2" w14:textId="64AACE16" w:rsidR="0064276D" w:rsidRPr="002C024B" w:rsidRDefault="0064276D" w:rsidP="00157E86">
            <w:pPr>
              <w:spacing w:after="120" w:line="276" w:lineRule="auto"/>
              <w:rPr>
                <w:rFonts w:cstheme="minorHAnsi"/>
              </w:rPr>
            </w:pPr>
            <w:r w:rsidRPr="002C024B">
              <w:rPr>
                <w:rFonts w:cstheme="minorHAnsi"/>
              </w:rPr>
              <w:t>Nghỉ giữa giờ</w:t>
            </w:r>
          </w:p>
        </w:tc>
      </w:tr>
      <w:tr w:rsidR="008001B0" w:rsidRPr="008E6B9A" w14:paraId="64FF2EC6" w14:textId="77777777" w:rsidTr="002C024B">
        <w:tc>
          <w:tcPr>
            <w:tcW w:w="1705" w:type="dxa"/>
            <w:vAlign w:val="center"/>
          </w:tcPr>
          <w:p w14:paraId="006BE6C8" w14:textId="2D7229F0" w:rsidR="008001B0" w:rsidRPr="002C024B" w:rsidRDefault="008001B0" w:rsidP="0019206D">
            <w:pPr>
              <w:spacing w:before="60" w:after="60" w:line="276" w:lineRule="auto"/>
              <w:jc w:val="center"/>
              <w:rPr>
                <w:rFonts w:cstheme="minorHAnsi"/>
              </w:rPr>
            </w:pPr>
            <w:r w:rsidRPr="002C024B">
              <w:rPr>
                <w:rFonts w:cstheme="minorHAnsi"/>
              </w:rPr>
              <w:t>1</w:t>
            </w:r>
            <w:r w:rsidR="0064276D" w:rsidRPr="002C024B">
              <w:rPr>
                <w:rFonts w:cstheme="minorHAnsi"/>
              </w:rPr>
              <w:t>5h15 – 16h15</w:t>
            </w:r>
          </w:p>
        </w:tc>
        <w:tc>
          <w:tcPr>
            <w:tcW w:w="7793" w:type="dxa"/>
          </w:tcPr>
          <w:p w14:paraId="4113A707" w14:textId="33C36458" w:rsidR="00456297" w:rsidRPr="00020EDE" w:rsidRDefault="0022719F" w:rsidP="00456297">
            <w:pPr>
              <w:spacing w:after="120" w:line="276" w:lineRule="auto"/>
              <w:jc w:val="both"/>
              <w:rPr>
                <w:rFonts w:cstheme="minorHAnsi"/>
                <w:b/>
                <w:bCs/>
                <w:i/>
                <w:iCs/>
              </w:rPr>
            </w:pPr>
            <w:r w:rsidRPr="002C024B">
              <w:rPr>
                <w:rFonts w:cstheme="minorHAnsi"/>
                <w:b/>
                <w:bCs/>
              </w:rPr>
              <w:t xml:space="preserve">Chuyên đề </w:t>
            </w:r>
            <w:r w:rsidR="001D5CF1" w:rsidRPr="002C024B">
              <w:rPr>
                <w:rFonts w:cstheme="minorHAnsi"/>
                <w:b/>
                <w:bCs/>
              </w:rPr>
              <w:t>4</w:t>
            </w:r>
            <w:r w:rsidRPr="002C024B">
              <w:rPr>
                <w:rFonts w:cstheme="minorHAnsi"/>
                <w:b/>
                <w:bCs/>
              </w:rPr>
              <w:t xml:space="preserve">: </w:t>
            </w:r>
            <w:r w:rsidR="00EA3537" w:rsidRPr="002C024B">
              <w:rPr>
                <w:rFonts w:cstheme="minorHAnsi"/>
                <w:b/>
                <w:bCs/>
              </w:rPr>
              <w:t xml:space="preserve">Giải quyết tranh chấp xây dựng </w:t>
            </w:r>
            <w:r w:rsidR="00C006FE" w:rsidRPr="00C006FE">
              <w:rPr>
                <w:rFonts w:cstheme="minorHAnsi"/>
                <w:b/>
                <w:bCs/>
              </w:rPr>
              <w:t xml:space="preserve">thông qua </w:t>
            </w:r>
            <w:r w:rsidR="00203032" w:rsidRPr="00203032">
              <w:rPr>
                <w:rFonts w:cstheme="minorHAnsi"/>
                <w:b/>
                <w:bCs/>
              </w:rPr>
              <w:t>trọng tài, hòa giải và các mô hình xử lý tranh chấp theo thông lệ quốc tế khác</w:t>
            </w:r>
            <w:r w:rsidR="00020EDE" w:rsidRPr="00020EDE">
              <w:rPr>
                <w:rFonts w:cstheme="minorHAnsi"/>
                <w:b/>
                <w:bCs/>
              </w:rPr>
              <w:t xml:space="preserve"> (Ban tranh chấp </w:t>
            </w:r>
            <w:r w:rsidR="00020EDE">
              <w:rPr>
                <w:rFonts w:cstheme="minorHAnsi"/>
                <w:b/>
                <w:bCs/>
              </w:rPr>
              <w:t>–</w:t>
            </w:r>
            <w:r w:rsidR="00020EDE" w:rsidRPr="00020EDE">
              <w:rPr>
                <w:rFonts w:cstheme="minorHAnsi"/>
                <w:b/>
                <w:bCs/>
              </w:rPr>
              <w:t xml:space="preserve"> Dispute Boards, Phân xử theo luật định </w:t>
            </w:r>
            <w:r w:rsidR="00020EDE">
              <w:rPr>
                <w:rFonts w:cstheme="minorHAnsi"/>
                <w:b/>
                <w:bCs/>
              </w:rPr>
              <w:t>–</w:t>
            </w:r>
            <w:r w:rsidR="00020EDE" w:rsidRPr="00020EDE">
              <w:rPr>
                <w:rFonts w:cstheme="minorHAnsi"/>
                <w:b/>
                <w:bCs/>
              </w:rPr>
              <w:t xml:space="preserve"> Staturory Adjudication)</w:t>
            </w:r>
          </w:p>
          <w:p w14:paraId="29FB8E50" w14:textId="77777777" w:rsidR="00456297" w:rsidRPr="002C024B" w:rsidRDefault="00456297" w:rsidP="00456297">
            <w:pPr>
              <w:spacing w:before="60" w:after="60" w:line="276" w:lineRule="auto"/>
              <w:rPr>
                <w:rFonts w:cstheme="minorHAnsi"/>
                <w:i/>
                <w:iCs/>
              </w:rPr>
            </w:pPr>
            <w:r w:rsidRPr="002C024B">
              <w:rPr>
                <w:rFonts w:cstheme="minorHAnsi"/>
                <w:i/>
                <w:iCs/>
              </w:rPr>
              <w:t>*Nội dung:</w:t>
            </w:r>
          </w:p>
          <w:p w14:paraId="54A9C6A2" w14:textId="4EAB52A8" w:rsidR="00456297" w:rsidRPr="00C006FE" w:rsidRDefault="00EA2A98" w:rsidP="00456297">
            <w:pPr>
              <w:pStyle w:val="ListParagraph"/>
              <w:numPr>
                <w:ilvl w:val="0"/>
                <w:numId w:val="10"/>
              </w:numPr>
              <w:spacing w:before="60" w:after="60" w:line="276" w:lineRule="auto"/>
              <w:ind w:left="596"/>
              <w:rPr>
                <w:rFonts w:cstheme="minorHAnsi"/>
              </w:rPr>
            </w:pPr>
            <w:r w:rsidRPr="002C024B">
              <w:rPr>
                <w:rFonts w:cstheme="minorHAnsi"/>
              </w:rPr>
              <w:t>Điểm mới của Luật Xây dựng 2025 về phương thức giải quyết tranh chấp hợp đồng xây dựng</w:t>
            </w:r>
            <w:r w:rsidR="00390DFD" w:rsidRPr="00390DFD">
              <w:rPr>
                <w:rFonts w:cstheme="minorHAnsi"/>
              </w:rPr>
              <w:t xml:space="preserve"> (theo phương thức, theo phân loại dự án).</w:t>
            </w:r>
          </w:p>
          <w:p w14:paraId="4B995984" w14:textId="77777777" w:rsidR="008001B0" w:rsidRPr="003E264B" w:rsidRDefault="003A77C7" w:rsidP="00C006FE">
            <w:pPr>
              <w:pStyle w:val="ListParagraph"/>
              <w:numPr>
                <w:ilvl w:val="0"/>
                <w:numId w:val="10"/>
              </w:numPr>
              <w:spacing w:before="60" w:after="60" w:line="276" w:lineRule="auto"/>
              <w:ind w:left="596"/>
              <w:rPr>
                <w:rFonts w:cstheme="minorHAnsi"/>
              </w:rPr>
            </w:pPr>
            <w:r w:rsidRPr="003A77C7">
              <w:rPr>
                <w:rFonts w:cstheme="minorHAnsi"/>
              </w:rPr>
              <w:t>Kỹ năng soạn thảo điều khoản giải quyết tranh chấp trong hợp đồng xây dựng</w:t>
            </w:r>
            <w:r w:rsidR="003E264B" w:rsidRPr="003E264B">
              <w:rPr>
                <w:rFonts w:cstheme="minorHAnsi"/>
              </w:rPr>
              <w:t xml:space="preserve"> (phạm vi tranh chấp, luật áp dụng, địa điểm, ngôn ngữ, số lượng trọng tài viên, cơ chế hòa giải và thủ tục tiền tố tụng).</w:t>
            </w:r>
          </w:p>
          <w:p w14:paraId="46812F44" w14:textId="57E0036A" w:rsidR="003E264B" w:rsidRPr="00C006FE" w:rsidRDefault="00404E17" w:rsidP="00C006FE">
            <w:pPr>
              <w:pStyle w:val="ListParagraph"/>
              <w:numPr>
                <w:ilvl w:val="0"/>
                <w:numId w:val="10"/>
              </w:numPr>
              <w:spacing w:before="60" w:after="60" w:line="276" w:lineRule="auto"/>
              <w:ind w:left="596"/>
              <w:rPr>
                <w:rFonts w:cstheme="minorHAnsi"/>
              </w:rPr>
            </w:pPr>
            <w:r w:rsidRPr="00404E17">
              <w:rPr>
                <w:rFonts w:cstheme="minorHAnsi"/>
              </w:rPr>
              <w:t>Lưu ý và khuyến nghị cho luật sư khi tham gia giải quyết tranh chấp xây dựng bằng trọng tài: thẩm quyền, yêu cầu khởi kiện, vấn đề chứng cứ và chuyên gia, định lượng thiệt hại và chiến lược tố tụng v.v.</w:t>
            </w:r>
          </w:p>
        </w:tc>
      </w:tr>
      <w:tr w:rsidR="008001B0" w:rsidRPr="002C024B" w14:paraId="221A249D" w14:textId="77777777" w:rsidTr="002C024B">
        <w:tc>
          <w:tcPr>
            <w:tcW w:w="1705" w:type="dxa"/>
            <w:vAlign w:val="center"/>
          </w:tcPr>
          <w:p w14:paraId="0E5CC63B" w14:textId="61035392" w:rsidR="008001B0" w:rsidRPr="002C024B" w:rsidRDefault="0064276D" w:rsidP="0019206D">
            <w:pPr>
              <w:spacing w:before="60" w:after="60" w:line="276" w:lineRule="auto"/>
              <w:jc w:val="center"/>
              <w:rPr>
                <w:rFonts w:cstheme="minorHAnsi"/>
              </w:rPr>
            </w:pPr>
            <w:r w:rsidRPr="002C024B">
              <w:rPr>
                <w:rFonts w:cstheme="minorHAnsi"/>
              </w:rPr>
              <w:t>16h15 – 16h45</w:t>
            </w:r>
          </w:p>
        </w:tc>
        <w:tc>
          <w:tcPr>
            <w:tcW w:w="7793" w:type="dxa"/>
          </w:tcPr>
          <w:p w14:paraId="182D6F79" w14:textId="7B995148" w:rsidR="008001B0" w:rsidRPr="002C024B" w:rsidRDefault="0064276D" w:rsidP="00157E86">
            <w:pPr>
              <w:spacing w:after="120" w:line="276" w:lineRule="auto"/>
              <w:rPr>
                <w:rFonts w:cstheme="minorHAnsi"/>
              </w:rPr>
            </w:pPr>
            <w:r w:rsidRPr="002C024B">
              <w:rPr>
                <w:rFonts w:cstheme="minorHAnsi"/>
              </w:rPr>
              <w:t>Thảo luận</w:t>
            </w:r>
          </w:p>
        </w:tc>
      </w:tr>
      <w:tr w:rsidR="0064276D" w:rsidRPr="008E6B9A" w14:paraId="6B2E90E2" w14:textId="77777777" w:rsidTr="002C024B">
        <w:tc>
          <w:tcPr>
            <w:tcW w:w="1705" w:type="dxa"/>
            <w:vAlign w:val="center"/>
          </w:tcPr>
          <w:p w14:paraId="55F07B4F" w14:textId="0101D4EA" w:rsidR="0064276D" w:rsidRPr="002C024B" w:rsidRDefault="0064276D" w:rsidP="0019206D">
            <w:pPr>
              <w:spacing w:before="60" w:after="60" w:line="276" w:lineRule="auto"/>
              <w:jc w:val="center"/>
              <w:rPr>
                <w:rFonts w:cstheme="minorHAnsi"/>
              </w:rPr>
            </w:pPr>
            <w:r w:rsidRPr="002C024B">
              <w:rPr>
                <w:rFonts w:cstheme="minorHAnsi"/>
              </w:rPr>
              <w:t>16h45 – 17h00</w:t>
            </w:r>
          </w:p>
        </w:tc>
        <w:tc>
          <w:tcPr>
            <w:tcW w:w="7793" w:type="dxa"/>
          </w:tcPr>
          <w:p w14:paraId="05B77C77" w14:textId="5D6C548D" w:rsidR="0064276D" w:rsidRPr="002C024B" w:rsidRDefault="0064276D" w:rsidP="00157E86">
            <w:pPr>
              <w:spacing w:after="120" w:line="276" w:lineRule="auto"/>
              <w:rPr>
                <w:rFonts w:cstheme="minorHAnsi"/>
              </w:rPr>
            </w:pPr>
            <w:r w:rsidRPr="002C024B">
              <w:rPr>
                <w:rFonts w:cstheme="minorHAnsi"/>
              </w:rPr>
              <w:t>Tổng kết và kết thúc</w:t>
            </w:r>
          </w:p>
        </w:tc>
      </w:tr>
    </w:tbl>
    <w:p w14:paraId="0F00D746" w14:textId="77777777" w:rsidR="00D37A21" w:rsidRPr="002C024B" w:rsidRDefault="00D37A21" w:rsidP="00D855AF">
      <w:pPr>
        <w:spacing w:after="120" w:line="276" w:lineRule="auto"/>
        <w:jc w:val="center"/>
        <w:rPr>
          <w:lang w:val="vi-VN"/>
        </w:rPr>
      </w:pPr>
    </w:p>
    <w:sectPr w:rsidR="00D37A21" w:rsidRPr="002C024B" w:rsidSect="004142FA">
      <w:pgSz w:w="11906" w:h="16838" w:code="9"/>
      <w:pgMar w:top="990" w:right="1418" w:bottom="10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78C"/>
    <w:multiLevelType w:val="hybridMultilevel"/>
    <w:tmpl w:val="2870B880"/>
    <w:lvl w:ilvl="0" w:tplc="95D479E4">
      <w:start w:val="1"/>
      <w:numFmt w:val="lowerRoman"/>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F7B8C"/>
    <w:multiLevelType w:val="hybridMultilevel"/>
    <w:tmpl w:val="2A36D788"/>
    <w:lvl w:ilvl="0" w:tplc="CB400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C2921"/>
    <w:multiLevelType w:val="hybridMultilevel"/>
    <w:tmpl w:val="09E0519A"/>
    <w:lvl w:ilvl="0" w:tplc="C70E0D2C">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D75A87"/>
    <w:multiLevelType w:val="hybridMultilevel"/>
    <w:tmpl w:val="53B2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94E9D"/>
    <w:multiLevelType w:val="hybridMultilevel"/>
    <w:tmpl w:val="6BD2B304"/>
    <w:lvl w:ilvl="0" w:tplc="DEC01016">
      <w:start w:val="5"/>
      <w:numFmt w:val="bullet"/>
      <w:lvlText w:val="-"/>
      <w:lvlJc w:val="left"/>
      <w:pPr>
        <w:ind w:left="720" w:hanging="360"/>
      </w:pPr>
      <w:rPr>
        <w:rFonts w:ascii="Aptos Display" w:eastAsiaTheme="minorHAnsi" w:hAnsi="Aptos Display"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70BE4"/>
    <w:multiLevelType w:val="hybridMultilevel"/>
    <w:tmpl w:val="920C593A"/>
    <w:lvl w:ilvl="0" w:tplc="FFFFFFF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9B2EBD"/>
    <w:multiLevelType w:val="hybridMultilevel"/>
    <w:tmpl w:val="E03E2EA0"/>
    <w:lvl w:ilvl="0" w:tplc="28F83E84">
      <w:numFmt w:val="bullet"/>
      <w:lvlText w:val="-"/>
      <w:lvlJc w:val="left"/>
      <w:pPr>
        <w:ind w:left="720" w:hanging="360"/>
      </w:pPr>
      <w:rPr>
        <w:rFonts w:ascii="Aptos" w:eastAsiaTheme="minorHAnsi" w:hAnsi="Aptos"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96905"/>
    <w:multiLevelType w:val="hybridMultilevel"/>
    <w:tmpl w:val="EFD0922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07A756F"/>
    <w:multiLevelType w:val="hybridMultilevel"/>
    <w:tmpl w:val="C77E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D548EF"/>
    <w:multiLevelType w:val="hybridMultilevel"/>
    <w:tmpl w:val="D536F6DE"/>
    <w:lvl w:ilvl="0" w:tplc="3A8A0B04">
      <w:numFmt w:val="bullet"/>
      <w:lvlText w:val="-"/>
      <w:lvlJc w:val="left"/>
      <w:pPr>
        <w:ind w:left="720" w:hanging="360"/>
      </w:pPr>
      <w:rPr>
        <w:rFonts w:ascii="Arial" w:eastAsiaTheme="minorHAnsi" w:hAnsi="Arial" w:cs="Arial"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0"/>
  </w:num>
  <w:num w:numId="5">
    <w:abstractNumId w:val="2"/>
  </w:num>
  <w:num w:numId="6">
    <w:abstractNumId w:val="6"/>
  </w:num>
  <w:num w:numId="7">
    <w:abstractNumId w:val="1"/>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21"/>
    <w:rsid w:val="00005614"/>
    <w:rsid w:val="00020EDE"/>
    <w:rsid w:val="00035310"/>
    <w:rsid w:val="00037171"/>
    <w:rsid w:val="00040DDB"/>
    <w:rsid w:val="0004273D"/>
    <w:rsid w:val="000451EB"/>
    <w:rsid w:val="0006105E"/>
    <w:rsid w:val="00072C99"/>
    <w:rsid w:val="0008361E"/>
    <w:rsid w:val="000857BD"/>
    <w:rsid w:val="000B3B4B"/>
    <w:rsid w:val="000C4F1B"/>
    <w:rsid w:val="000F2618"/>
    <w:rsid w:val="000F51DF"/>
    <w:rsid w:val="00104C44"/>
    <w:rsid w:val="00111713"/>
    <w:rsid w:val="00113CA3"/>
    <w:rsid w:val="00123495"/>
    <w:rsid w:val="00124A3B"/>
    <w:rsid w:val="00125528"/>
    <w:rsid w:val="0014050B"/>
    <w:rsid w:val="00150223"/>
    <w:rsid w:val="00150801"/>
    <w:rsid w:val="00157C1F"/>
    <w:rsid w:val="00157E86"/>
    <w:rsid w:val="0016228A"/>
    <w:rsid w:val="00166BDE"/>
    <w:rsid w:val="0019206D"/>
    <w:rsid w:val="00196F0D"/>
    <w:rsid w:val="001B0361"/>
    <w:rsid w:val="001C10FE"/>
    <w:rsid w:val="001C18F4"/>
    <w:rsid w:val="001C5976"/>
    <w:rsid w:val="001C5C2A"/>
    <w:rsid w:val="001D5CF1"/>
    <w:rsid w:val="001D7BD4"/>
    <w:rsid w:val="001E138C"/>
    <w:rsid w:val="001E2B97"/>
    <w:rsid w:val="001F0A13"/>
    <w:rsid w:val="001F1320"/>
    <w:rsid w:val="001F175D"/>
    <w:rsid w:val="001F53B1"/>
    <w:rsid w:val="00201F87"/>
    <w:rsid w:val="00203032"/>
    <w:rsid w:val="0020490C"/>
    <w:rsid w:val="00206648"/>
    <w:rsid w:val="00212C31"/>
    <w:rsid w:val="0022719F"/>
    <w:rsid w:val="00231705"/>
    <w:rsid w:val="00236EBF"/>
    <w:rsid w:val="00243D85"/>
    <w:rsid w:val="00264475"/>
    <w:rsid w:val="002659BE"/>
    <w:rsid w:val="0026737F"/>
    <w:rsid w:val="002731DF"/>
    <w:rsid w:val="00277C31"/>
    <w:rsid w:val="00281D7B"/>
    <w:rsid w:val="00297477"/>
    <w:rsid w:val="002B1831"/>
    <w:rsid w:val="002C024B"/>
    <w:rsid w:val="002C1A3D"/>
    <w:rsid w:val="002D1B5C"/>
    <w:rsid w:val="002D3A98"/>
    <w:rsid w:val="002E2378"/>
    <w:rsid w:val="002E4956"/>
    <w:rsid w:val="00302261"/>
    <w:rsid w:val="003118B7"/>
    <w:rsid w:val="00332662"/>
    <w:rsid w:val="00343A3F"/>
    <w:rsid w:val="0034429D"/>
    <w:rsid w:val="00360309"/>
    <w:rsid w:val="003604E3"/>
    <w:rsid w:val="00361856"/>
    <w:rsid w:val="00362F60"/>
    <w:rsid w:val="0036575F"/>
    <w:rsid w:val="00370263"/>
    <w:rsid w:val="00371926"/>
    <w:rsid w:val="00374DC4"/>
    <w:rsid w:val="0038498B"/>
    <w:rsid w:val="003852DB"/>
    <w:rsid w:val="0038737F"/>
    <w:rsid w:val="00390DFD"/>
    <w:rsid w:val="003972AB"/>
    <w:rsid w:val="00397976"/>
    <w:rsid w:val="003A3456"/>
    <w:rsid w:val="003A77C7"/>
    <w:rsid w:val="003B2962"/>
    <w:rsid w:val="003B5CB3"/>
    <w:rsid w:val="003D15F7"/>
    <w:rsid w:val="003E09F3"/>
    <w:rsid w:val="003E264B"/>
    <w:rsid w:val="003F343E"/>
    <w:rsid w:val="00404569"/>
    <w:rsid w:val="00404E17"/>
    <w:rsid w:val="00406C0F"/>
    <w:rsid w:val="00412E90"/>
    <w:rsid w:val="004142FA"/>
    <w:rsid w:val="00415F79"/>
    <w:rsid w:val="0042437A"/>
    <w:rsid w:val="0044710B"/>
    <w:rsid w:val="00456297"/>
    <w:rsid w:val="004613DD"/>
    <w:rsid w:val="00467515"/>
    <w:rsid w:val="00475256"/>
    <w:rsid w:val="00475CB7"/>
    <w:rsid w:val="00491F6C"/>
    <w:rsid w:val="00496E5D"/>
    <w:rsid w:val="004A7EF6"/>
    <w:rsid w:val="004D6569"/>
    <w:rsid w:val="004E4ED7"/>
    <w:rsid w:val="004F365C"/>
    <w:rsid w:val="00512B5B"/>
    <w:rsid w:val="00515E13"/>
    <w:rsid w:val="00516AD0"/>
    <w:rsid w:val="00520419"/>
    <w:rsid w:val="00532D86"/>
    <w:rsid w:val="005465EB"/>
    <w:rsid w:val="0055080C"/>
    <w:rsid w:val="0056090D"/>
    <w:rsid w:val="0056194C"/>
    <w:rsid w:val="00562B76"/>
    <w:rsid w:val="00566298"/>
    <w:rsid w:val="0057601C"/>
    <w:rsid w:val="005813F2"/>
    <w:rsid w:val="005A0E46"/>
    <w:rsid w:val="005B3E48"/>
    <w:rsid w:val="005B677B"/>
    <w:rsid w:val="005C0877"/>
    <w:rsid w:val="005D3FB5"/>
    <w:rsid w:val="005D71E0"/>
    <w:rsid w:val="005E0704"/>
    <w:rsid w:val="005E39B5"/>
    <w:rsid w:val="005E6B53"/>
    <w:rsid w:val="0060780C"/>
    <w:rsid w:val="00621EBE"/>
    <w:rsid w:val="0062723E"/>
    <w:rsid w:val="0063220E"/>
    <w:rsid w:val="00636805"/>
    <w:rsid w:val="0064276D"/>
    <w:rsid w:val="00644826"/>
    <w:rsid w:val="00660C0B"/>
    <w:rsid w:val="00665D46"/>
    <w:rsid w:val="00667B0D"/>
    <w:rsid w:val="00671A45"/>
    <w:rsid w:val="006761A5"/>
    <w:rsid w:val="006901BD"/>
    <w:rsid w:val="006A4088"/>
    <w:rsid w:val="006B2385"/>
    <w:rsid w:val="006B44DC"/>
    <w:rsid w:val="006C11C6"/>
    <w:rsid w:val="006C6A78"/>
    <w:rsid w:val="006D051C"/>
    <w:rsid w:val="006D1E21"/>
    <w:rsid w:val="006F016A"/>
    <w:rsid w:val="006F1929"/>
    <w:rsid w:val="0071632F"/>
    <w:rsid w:val="007404CA"/>
    <w:rsid w:val="00751C35"/>
    <w:rsid w:val="007629A0"/>
    <w:rsid w:val="00772045"/>
    <w:rsid w:val="007907AE"/>
    <w:rsid w:val="007A6D19"/>
    <w:rsid w:val="007B01E3"/>
    <w:rsid w:val="007B0295"/>
    <w:rsid w:val="007D0F7E"/>
    <w:rsid w:val="007D3737"/>
    <w:rsid w:val="007E5C5E"/>
    <w:rsid w:val="007F31F3"/>
    <w:rsid w:val="007F49CB"/>
    <w:rsid w:val="007F631A"/>
    <w:rsid w:val="008001B0"/>
    <w:rsid w:val="00815BC9"/>
    <w:rsid w:val="00824AA3"/>
    <w:rsid w:val="00844E23"/>
    <w:rsid w:val="0085161A"/>
    <w:rsid w:val="00860E63"/>
    <w:rsid w:val="00862D48"/>
    <w:rsid w:val="008650E2"/>
    <w:rsid w:val="008857FD"/>
    <w:rsid w:val="00886FCD"/>
    <w:rsid w:val="00887ACD"/>
    <w:rsid w:val="00895DF4"/>
    <w:rsid w:val="008971EC"/>
    <w:rsid w:val="008A7591"/>
    <w:rsid w:val="008A7830"/>
    <w:rsid w:val="008B481C"/>
    <w:rsid w:val="008D1E4C"/>
    <w:rsid w:val="008D30C4"/>
    <w:rsid w:val="008E43F7"/>
    <w:rsid w:val="008E6B9A"/>
    <w:rsid w:val="008F0225"/>
    <w:rsid w:val="008F355B"/>
    <w:rsid w:val="008F68F7"/>
    <w:rsid w:val="008F7AEF"/>
    <w:rsid w:val="00913FFF"/>
    <w:rsid w:val="009250D5"/>
    <w:rsid w:val="00930E8E"/>
    <w:rsid w:val="00950446"/>
    <w:rsid w:val="009515F7"/>
    <w:rsid w:val="00952424"/>
    <w:rsid w:val="00980D4E"/>
    <w:rsid w:val="00983871"/>
    <w:rsid w:val="00983B88"/>
    <w:rsid w:val="00985EBF"/>
    <w:rsid w:val="009A26E6"/>
    <w:rsid w:val="009B0656"/>
    <w:rsid w:val="009C0A33"/>
    <w:rsid w:val="009D1175"/>
    <w:rsid w:val="009D25A5"/>
    <w:rsid w:val="009D3DE1"/>
    <w:rsid w:val="009F43E3"/>
    <w:rsid w:val="00A010B7"/>
    <w:rsid w:val="00A055AA"/>
    <w:rsid w:val="00A256CA"/>
    <w:rsid w:val="00A36A52"/>
    <w:rsid w:val="00A43F58"/>
    <w:rsid w:val="00A51FF1"/>
    <w:rsid w:val="00A571F4"/>
    <w:rsid w:val="00A606D4"/>
    <w:rsid w:val="00A60D62"/>
    <w:rsid w:val="00A779E0"/>
    <w:rsid w:val="00A9542E"/>
    <w:rsid w:val="00AA186E"/>
    <w:rsid w:val="00AA2769"/>
    <w:rsid w:val="00AB2FAB"/>
    <w:rsid w:val="00AB7EE0"/>
    <w:rsid w:val="00AC1D0F"/>
    <w:rsid w:val="00AD5B97"/>
    <w:rsid w:val="00AE0346"/>
    <w:rsid w:val="00AE1EBE"/>
    <w:rsid w:val="00B2002B"/>
    <w:rsid w:val="00B245A8"/>
    <w:rsid w:val="00B30413"/>
    <w:rsid w:val="00B63CAE"/>
    <w:rsid w:val="00B65C1D"/>
    <w:rsid w:val="00B7412C"/>
    <w:rsid w:val="00B75B88"/>
    <w:rsid w:val="00B816A3"/>
    <w:rsid w:val="00B81A09"/>
    <w:rsid w:val="00B86235"/>
    <w:rsid w:val="00B916E2"/>
    <w:rsid w:val="00B95442"/>
    <w:rsid w:val="00BA7BCA"/>
    <w:rsid w:val="00BB515B"/>
    <w:rsid w:val="00BC4F84"/>
    <w:rsid w:val="00BD13C9"/>
    <w:rsid w:val="00BD27B4"/>
    <w:rsid w:val="00BD423E"/>
    <w:rsid w:val="00BD42BE"/>
    <w:rsid w:val="00BE43C8"/>
    <w:rsid w:val="00BF1D08"/>
    <w:rsid w:val="00C006FE"/>
    <w:rsid w:val="00C02FED"/>
    <w:rsid w:val="00C11109"/>
    <w:rsid w:val="00C118D0"/>
    <w:rsid w:val="00C1450D"/>
    <w:rsid w:val="00C146F1"/>
    <w:rsid w:val="00C171E2"/>
    <w:rsid w:val="00C2608A"/>
    <w:rsid w:val="00C4181B"/>
    <w:rsid w:val="00C42E45"/>
    <w:rsid w:val="00C442AC"/>
    <w:rsid w:val="00C44398"/>
    <w:rsid w:val="00C539BE"/>
    <w:rsid w:val="00C57D5F"/>
    <w:rsid w:val="00C70663"/>
    <w:rsid w:val="00C7196A"/>
    <w:rsid w:val="00C74B5B"/>
    <w:rsid w:val="00C86B58"/>
    <w:rsid w:val="00C97A42"/>
    <w:rsid w:val="00CA423E"/>
    <w:rsid w:val="00CB4213"/>
    <w:rsid w:val="00CC382C"/>
    <w:rsid w:val="00CD0EC3"/>
    <w:rsid w:val="00CE19B5"/>
    <w:rsid w:val="00D00039"/>
    <w:rsid w:val="00D000D4"/>
    <w:rsid w:val="00D04B5C"/>
    <w:rsid w:val="00D11EE0"/>
    <w:rsid w:val="00D23D10"/>
    <w:rsid w:val="00D36520"/>
    <w:rsid w:val="00D37A21"/>
    <w:rsid w:val="00D41CBD"/>
    <w:rsid w:val="00D61DBF"/>
    <w:rsid w:val="00D636BF"/>
    <w:rsid w:val="00D6449C"/>
    <w:rsid w:val="00D64503"/>
    <w:rsid w:val="00D75E00"/>
    <w:rsid w:val="00D855AF"/>
    <w:rsid w:val="00D86FC4"/>
    <w:rsid w:val="00D878CD"/>
    <w:rsid w:val="00D901C5"/>
    <w:rsid w:val="00DB2B0D"/>
    <w:rsid w:val="00DB4561"/>
    <w:rsid w:val="00DB6645"/>
    <w:rsid w:val="00DB7F8A"/>
    <w:rsid w:val="00DC6774"/>
    <w:rsid w:val="00DD6E3E"/>
    <w:rsid w:val="00DE1ED5"/>
    <w:rsid w:val="00DF09A3"/>
    <w:rsid w:val="00E00707"/>
    <w:rsid w:val="00E21088"/>
    <w:rsid w:val="00E326BD"/>
    <w:rsid w:val="00E32843"/>
    <w:rsid w:val="00E5294B"/>
    <w:rsid w:val="00E538D5"/>
    <w:rsid w:val="00E56C11"/>
    <w:rsid w:val="00E65203"/>
    <w:rsid w:val="00E65714"/>
    <w:rsid w:val="00E72CB5"/>
    <w:rsid w:val="00E844C4"/>
    <w:rsid w:val="00E86E97"/>
    <w:rsid w:val="00E92369"/>
    <w:rsid w:val="00EA2A98"/>
    <w:rsid w:val="00EA3537"/>
    <w:rsid w:val="00EA3705"/>
    <w:rsid w:val="00EB19C4"/>
    <w:rsid w:val="00EB6A7C"/>
    <w:rsid w:val="00EC39B4"/>
    <w:rsid w:val="00ED34E7"/>
    <w:rsid w:val="00F025A2"/>
    <w:rsid w:val="00F3726A"/>
    <w:rsid w:val="00F53369"/>
    <w:rsid w:val="00F76C43"/>
    <w:rsid w:val="00F8022B"/>
    <w:rsid w:val="00F82191"/>
    <w:rsid w:val="00F859FB"/>
    <w:rsid w:val="00FA31D9"/>
    <w:rsid w:val="00FB4953"/>
    <w:rsid w:val="00FC3743"/>
    <w:rsid w:val="00FD1C4A"/>
    <w:rsid w:val="00FD345B"/>
    <w:rsid w:val="00FD46E8"/>
    <w:rsid w:val="00FD534A"/>
    <w:rsid w:val="00FD53DB"/>
    <w:rsid w:val="00FD67B1"/>
    <w:rsid w:val="00FE2BF9"/>
    <w:rsid w:val="00FF3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C5FD"/>
  <w15:chartTrackingRefBased/>
  <w15:docId w15:val="{BBBCA5BE-6CF9-4B50-A369-432AB51D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7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A21"/>
    <w:rPr>
      <w:rFonts w:eastAsiaTheme="majorEastAsia" w:cstheme="majorBidi"/>
      <w:color w:val="272727" w:themeColor="text1" w:themeTint="D8"/>
    </w:rPr>
  </w:style>
  <w:style w:type="paragraph" w:styleId="Title">
    <w:name w:val="Title"/>
    <w:basedOn w:val="Normal"/>
    <w:next w:val="Normal"/>
    <w:link w:val="TitleChar"/>
    <w:uiPriority w:val="10"/>
    <w:qFormat/>
    <w:rsid w:val="00D37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A21"/>
    <w:pPr>
      <w:spacing w:before="160"/>
      <w:jc w:val="center"/>
    </w:pPr>
    <w:rPr>
      <w:i/>
      <w:iCs/>
      <w:color w:val="404040" w:themeColor="text1" w:themeTint="BF"/>
    </w:rPr>
  </w:style>
  <w:style w:type="character" w:customStyle="1" w:styleId="QuoteChar">
    <w:name w:val="Quote Char"/>
    <w:basedOn w:val="DefaultParagraphFont"/>
    <w:link w:val="Quote"/>
    <w:uiPriority w:val="29"/>
    <w:rsid w:val="00D37A21"/>
    <w:rPr>
      <w:i/>
      <w:iCs/>
      <w:color w:val="404040" w:themeColor="text1" w:themeTint="BF"/>
    </w:rPr>
  </w:style>
  <w:style w:type="paragraph" w:styleId="ListParagraph">
    <w:name w:val="List Paragraph"/>
    <w:basedOn w:val="Normal"/>
    <w:uiPriority w:val="34"/>
    <w:qFormat/>
    <w:rsid w:val="00D37A21"/>
    <w:pPr>
      <w:ind w:left="720"/>
      <w:contextualSpacing/>
    </w:pPr>
  </w:style>
  <w:style w:type="character" w:styleId="IntenseEmphasis">
    <w:name w:val="Intense Emphasis"/>
    <w:basedOn w:val="DefaultParagraphFont"/>
    <w:uiPriority w:val="21"/>
    <w:qFormat/>
    <w:rsid w:val="00D37A21"/>
    <w:rPr>
      <w:i/>
      <w:iCs/>
      <w:color w:val="0F4761" w:themeColor="accent1" w:themeShade="BF"/>
    </w:rPr>
  </w:style>
  <w:style w:type="paragraph" w:styleId="IntenseQuote">
    <w:name w:val="Intense Quote"/>
    <w:basedOn w:val="Normal"/>
    <w:next w:val="Normal"/>
    <w:link w:val="IntenseQuoteChar"/>
    <w:uiPriority w:val="30"/>
    <w:qFormat/>
    <w:rsid w:val="00D37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A21"/>
    <w:rPr>
      <w:i/>
      <w:iCs/>
      <w:color w:val="0F4761" w:themeColor="accent1" w:themeShade="BF"/>
    </w:rPr>
  </w:style>
  <w:style w:type="character" w:styleId="IntenseReference">
    <w:name w:val="Intense Reference"/>
    <w:basedOn w:val="DefaultParagraphFont"/>
    <w:uiPriority w:val="32"/>
    <w:qFormat/>
    <w:rsid w:val="00D37A21"/>
    <w:rPr>
      <w:b/>
      <w:bCs/>
      <w:smallCaps/>
      <w:color w:val="0F4761" w:themeColor="accent1" w:themeShade="BF"/>
      <w:spacing w:val="5"/>
    </w:rPr>
  </w:style>
  <w:style w:type="table" w:styleId="TableGrid">
    <w:name w:val="Table Grid"/>
    <w:basedOn w:val="TableNormal"/>
    <w:uiPriority w:val="59"/>
    <w:rsid w:val="00D37A21"/>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Tuong</dc:creator>
  <cp:keywords/>
  <dc:description/>
  <cp:lastModifiedBy>Admin</cp:lastModifiedBy>
  <cp:revision>309</cp:revision>
  <dcterms:created xsi:type="dcterms:W3CDTF">2025-02-14T08:54:00Z</dcterms:created>
  <dcterms:modified xsi:type="dcterms:W3CDTF">2026-06-15T01:04:00Z</dcterms:modified>
</cp:coreProperties>
</file>